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2D" w:rsidRPr="00EE611E" w:rsidRDefault="00DD602D" w:rsidP="000A2C62">
      <w:pPr>
        <w:jc w:val="center"/>
        <w:rPr>
          <w:rFonts w:ascii="Century Gothic" w:hAnsi="Century Gothic"/>
          <w:b/>
          <w:color w:val="003366"/>
          <w:sz w:val="28"/>
          <w:szCs w:val="28"/>
        </w:rPr>
      </w:pPr>
    </w:p>
    <w:p w:rsidR="000A2C62" w:rsidRPr="00EE611E" w:rsidRDefault="009D5EB1" w:rsidP="000A2C62">
      <w:pPr>
        <w:jc w:val="center"/>
        <w:rPr>
          <w:rFonts w:ascii="Century Gothic" w:hAnsi="Century Gothic"/>
          <w:b/>
          <w:color w:val="003366"/>
          <w:sz w:val="28"/>
          <w:szCs w:val="28"/>
        </w:rPr>
      </w:pPr>
      <w:proofErr w:type="spellStart"/>
      <w:r w:rsidRPr="00EE611E">
        <w:rPr>
          <w:rFonts w:ascii="Century Gothic" w:hAnsi="Century Gothic"/>
          <w:b/>
          <w:color w:val="003366"/>
          <w:sz w:val="28"/>
          <w:szCs w:val="28"/>
        </w:rPr>
        <w:t>Spafid</w:t>
      </w:r>
      <w:proofErr w:type="spellEnd"/>
      <w:r w:rsidR="00052315">
        <w:rPr>
          <w:rFonts w:ascii="Century Gothic" w:hAnsi="Century Gothic"/>
          <w:b/>
          <w:color w:val="003366"/>
          <w:sz w:val="28"/>
          <w:szCs w:val="28"/>
        </w:rPr>
        <w:t xml:space="preserve"> Connect</w:t>
      </w:r>
      <w:r w:rsidR="009A104D">
        <w:rPr>
          <w:rFonts w:ascii="Century Gothic" w:hAnsi="Century Gothic"/>
          <w:b/>
          <w:color w:val="003366"/>
          <w:sz w:val="28"/>
          <w:szCs w:val="28"/>
        </w:rPr>
        <w:t xml:space="preserve"> e CAD IT stipulano un accordo strategico</w:t>
      </w:r>
    </w:p>
    <w:p w:rsidR="000A2C62" w:rsidRPr="00EE611E" w:rsidRDefault="000A2C62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1953FC" w:rsidRPr="00EE611E" w:rsidRDefault="004B3E94" w:rsidP="001953FC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t xml:space="preserve">Milano, </w:t>
      </w:r>
      <w:r w:rsidR="009D5EB1" w:rsidRPr="00EE611E">
        <w:rPr>
          <w:rFonts w:ascii="Century Gothic" w:hAnsi="Century Gothic"/>
          <w:color w:val="003366"/>
          <w:sz w:val="20"/>
          <w:szCs w:val="20"/>
        </w:rPr>
        <w:t>09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</w:t>
      </w:r>
      <w:r w:rsidR="009D5EB1" w:rsidRPr="00EE611E">
        <w:rPr>
          <w:rFonts w:ascii="Century Gothic" w:hAnsi="Century Gothic"/>
          <w:color w:val="003366"/>
          <w:sz w:val="20"/>
          <w:szCs w:val="20"/>
        </w:rPr>
        <w:t>febbraio 2016</w:t>
      </w:r>
    </w:p>
    <w:p w:rsidR="00DD602D" w:rsidRPr="00EE611E" w:rsidRDefault="00DD602D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9D5EB1" w:rsidRPr="00EE611E" w:rsidRDefault="009D5EB1" w:rsidP="009D5EB1">
      <w:pPr>
        <w:rPr>
          <w:rFonts w:ascii="Century Gothic" w:hAnsi="Century Gothic"/>
          <w:color w:val="003366"/>
          <w:sz w:val="20"/>
          <w:szCs w:val="20"/>
        </w:rPr>
      </w:pPr>
      <w:proofErr w:type="spellStart"/>
      <w:r w:rsidRPr="00EE611E">
        <w:rPr>
          <w:rFonts w:ascii="Century Gothic" w:hAnsi="Century Gothic"/>
          <w:b/>
          <w:color w:val="003366"/>
          <w:sz w:val="20"/>
          <w:szCs w:val="20"/>
        </w:rPr>
        <w:t>Spafid</w:t>
      </w:r>
      <w:proofErr w:type="spellEnd"/>
      <w:r w:rsidR="009A5426">
        <w:rPr>
          <w:rFonts w:ascii="Century Gothic" w:hAnsi="Century Gothic"/>
          <w:color w:val="003366"/>
          <w:sz w:val="20"/>
          <w:szCs w:val="20"/>
        </w:rPr>
        <w:t xml:space="preserve"> </w:t>
      </w:r>
      <w:r w:rsidR="009A5426" w:rsidRPr="009A5426">
        <w:rPr>
          <w:rFonts w:ascii="Century Gothic" w:hAnsi="Century Gothic"/>
          <w:b/>
          <w:color w:val="003366"/>
          <w:sz w:val="20"/>
          <w:szCs w:val="20"/>
        </w:rPr>
        <w:t>Connect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, </w:t>
      </w:r>
      <w:r w:rsidR="009A5426" w:rsidRPr="00EE611E">
        <w:rPr>
          <w:rFonts w:ascii="Century Gothic" w:hAnsi="Century Gothic"/>
          <w:color w:val="003366"/>
          <w:sz w:val="20"/>
          <w:szCs w:val="20"/>
        </w:rPr>
        <w:t xml:space="preserve">la piattaforma tecnologica di </w:t>
      </w:r>
      <w:proofErr w:type="spellStart"/>
      <w:r w:rsidR="009A5426" w:rsidRPr="009A5426">
        <w:rPr>
          <w:rFonts w:ascii="Century Gothic" w:hAnsi="Century Gothic"/>
          <w:b/>
          <w:color w:val="003366"/>
          <w:sz w:val="20"/>
          <w:szCs w:val="20"/>
        </w:rPr>
        <w:t>Spafid</w:t>
      </w:r>
      <w:proofErr w:type="spellEnd"/>
      <w:r w:rsidR="009A5426" w:rsidRPr="00EE611E">
        <w:rPr>
          <w:rFonts w:ascii="Century Gothic" w:hAnsi="Century Gothic"/>
          <w:color w:val="003366"/>
          <w:sz w:val="20"/>
          <w:szCs w:val="20"/>
        </w:rPr>
        <w:t xml:space="preserve"> nell’ambito dei Servizi agli Emittenti </w:t>
      </w:r>
      <w:r w:rsidR="009A5426">
        <w:rPr>
          <w:rFonts w:ascii="Century Gothic" w:hAnsi="Century Gothic"/>
          <w:color w:val="003366"/>
          <w:sz w:val="20"/>
          <w:szCs w:val="20"/>
        </w:rPr>
        <w:t xml:space="preserve">, </w:t>
      </w:r>
      <w:r w:rsidR="00EE611E" w:rsidRPr="00EE611E">
        <w:rPr>
          <w:rFonts w:ascii="Century Gothic" w:hAnsi="Century Gothic"/>
          <w:color w:val="003366"/>
          <w:sz w:val="20"/>
          <w:szCs w:val="20"/>
        </w:rPr>
        <w:t>accelera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il percorso di sviluppo </w:t>
      </w:r>
      <w:r w:rsidR="009A104D">
        <w:rPr>
          <w:rFonts w:ascii="Century Gothic" w:hAnsi="Century Gothic"/>
          <w:color w:val="003366"/>
          <w:sz w:val="20"/>
          <w:szCs w:val="20"/>
        </w:rPr>
        <w:t>stipulando un accordo strategico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decennale con </w:t>
      </w:r>
      <w:r w:rsidRPr="00EE611E">
        <w:rPr>
          <w:rFonts w:ascii="Century Gothic" w:hAnsi="Century Gothic"/>
          <w:b/>
          <w:color w:val="003366"/>
          <w:sz w:val="20"/>
          <w:szCs w:val="20"/>
        </w:rPr>
        <w:t>CAD IT</w:t>
      </w:r>
      <w:r w:rsidRPr="00EE611E">
        <w:rPr>
          <w:rFonts w:ascii="Century Gothic" w:hAnsi="Century Gothic"/>
          <w:color w:val="003366"/>
          <w:sz w:val="20"/>
          <w:szCs w:val="20"/>
        </w:rPr>
        <w:t>, società all'avanguardia nel mercato del software finanziario e quotata al segmento STAR di Borsa Italiana.</w:t>
      </w:r>
    </w:p>
    <w:p w:rsidR="009D5EB1" w:rsidRPr="00EE611E" w:rsidRDefault="009D5EB1" w:rsidP="009D5EB1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t xml:space="preserve">L'integrazione della piattaforma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Connect,  società </w:t>
      </w:r>
      <w:r w:rsidR="007924E8" w:rsidRPr="00EE611E">
        <w:rPr>
          <w:rFonts w:ascii="Century Gothic" w:hAnsi="Century Gothic"/>
          <w:color w:val="003366"/>
          <w:sz w:val="20"/>
          <w:szCs w:val="20"/>
        </w:rPr>
        <w:t>di recente creazione dedicata alla gestione dei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servizi assembleari e </w:t>
      </w:r>
      <w:r w:rsidR="007924E8" w:rsidRPr="00EE611E">
        <w:rPr>
          <w:rFonts w:ascii="Century Gothic" w:hAnsi="Century Gothic"/>
          <w:color w:val="003366"/>
          <w:sz w:val="20"/>
          <w:szCs w:val="20"/>
        </w:rPr>
        <w:t xml:space="preserve">della </w:t>
      </w:r>
      <w:r w:rsidRPr="00EE611E">
        <w:rPr>
          <w:rFonts w:ascii="Century Gothic" w:hAnsi="Century Gothic"/>
          <w:i/>
          <w:color w:val="003366"/>
          <w:sz w:val="20"/>
          <w:szCs w:val="20"/>
        </w:rPr>
        <w:t xml:space="preserve">market </w:t>
      </w:r>
      <w:proofErr w:type="spellStart"/>
      <w:r w:rsidRPr="00EE611E">
        <w:rPr>
          <w:rFonts w:ascii="Century Gothic" w:hAnsi="Century Gothic"/>
          <w:i/>
          <w:color w:val="003366"/>
          <w:sz w:val="20"/>
          <w:szCs w:val="20"/>
        </w:rPr>
        <w:t>abuse</w:t>
      </w:r>
      <w:proofErr w:type="spellEnd"/>
      <w:r w:rsidR="007924E8" w:rsidRPr="00EE611E">
        <w:rPr>
          <w:rFonts w:ascii="Century Gothic" w:hAnsi="Century Gothic"/>
          <w:color w:val="003366"/>
          <w:sz w:val="20"/>
          <w:szCs w:val="20"/>
        </w:rPr>
        <w:t>,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con l'area finanza CAD IT consentirà a banche e assicurazioni di fruire di </w:t>
      </w:r>
      <w:r w:rsidR="007924E8" w:rsidRPr="00EE611E">
        <w:rPr>
          <w:rFonts w:ascii="Century Gothic" w:hAnsi="Century Gothic"/>
          <w:color w:val="003366"/>
          <w:sz w:val="20"/>
          <w:szCs w:val="20"/>
        </w:rPr>
        <w:t>una gamma completa di soluzioni IT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integrate con un </w:t>
      </w:r>
      <w:proofErr w:type="spellStart"/>
      <w:r w:rsidRPr="00EE611E">
        <w:rPr>
          <w:rFonts w:ascii="Century Gothic" w:hAnsi="Century Gothic"/>
          <w:i/>
          <w:color w:val="003366"/>
          <w:sz w:val="20"/>
          <w:szCs w:val="20"/>
        </w:rPr>
        <w:t>hub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professionale fortemente specializzato nell'assolvere </w:t>
      </w:r>
      <w:r w:rsidR="009A104D">
        <w:rPr>
          <w:rFonts w:ascii="Century Gothic" w:hAnsi="Century Gothic"/>
          <w:color w:val="003366"/>
          <w:sz w:val="20"/>
          <w:szCs w:val="20"/>
        </w:rPr>
        <w:t>gli adempimenti legati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allo </w:t>
      </w:r>
      <w:r w:rsidRPr="00EE611E">
        <w:rPr>
          <w:rFonts w:ascii="Century Gothic" w:hAnsi="Century Gothic"/>
          <w:i/>
          <w:color w:val="003366"/>
          <w:sz w:val="20"/>
          <w:szCs w:val="20"/>
        </w:rPr>
        <w:t>status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di Emittente.</w:t>
      </w:r>
    </w:p>
    <w:p w:rsidR="00560339" w:rsidRPr="00EE611E" w:rsidRDefault="007924E8" w:rsidP="00560339">
      <w:pPr>
        <w:rPr>
          <w:rFonts w:ascii="Century Gothic" w:hAnsi="Century Gothic"/>
          <w:color w:val="003366"/>
          <w:sz w:val="20"/>
          <w:szCs w:val="20"/>
        </w:rPr>
      </w:pP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="009A5426">
        <w:rPr>
          <w:rFonts w:ascii="Century Gothic" w:hAnsi="Century Gothic"/>
          <w:color w:val="003366"/>
          <w:sz w:val="20"/>
          <w:szCs w:val="20"/>
        </w:rPr>
        <w:t>, società fiduciaria del Gruppo Mediobanca,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vanta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una pluriennale esperienza nell'ammin</w:t>
      </w:r>
      <w:r w:rsidRPr="00EE611E">
        <w:rPr>
          <w:rFonts w:ascii="Century Gothic" w:hAnsi="Century Gothic"/>
          <w:color w:val="003366"/>
          <w:sz w:val="20"/>
          <w:szCs w:val="20"/>
        </w:rPr>
        <w:t>istrazione di patrimoni privati e di importanti famiglie imprenditoriali, e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ha una tradizionale vocazione nei Servizi agli Emittenti (Tenuta Libro Soci e gestione assembleare </w:t>
      </w:r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>in primis</w:t>
      </w:r>
      <w:r w:rsidR="00675FE9" w:rsidRPr="00EE611E">
        <w:rPr>
          <w:rFonts w:ascii="Century Gothic" w:hAnsi="Century Gothic"/>
          <w:color w:val="003366"/>
          <w:sz w:val="20"/>
          <w:szCs w:val="20"/>
        </w:rPr>
        <w:t>).</w:t>
      </w:r>
    </w:p>
    <w:p w:rsidR="00A004D9" w:rsidRPr="00EE611E" w:rsidRDefault="007924E8" w:rsidP="00560339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t>Attraverso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</w:t>
      </w:r>
      <w:proofErr w:type="spellStart"/>
      <w:r w:rsidR="00560339"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, 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il Gruppo 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>Medioba</w:t>
      </w:r>
      <w:r w:rsidR="00675FE9" w:rsidRPr="00EE611E">
        <w:rPr>
          <w:rFonts w:ascii="Century Gothic" w:hAnsi="Century Gothic"/>
          <w:color w:val="003366"/>
          <w:sz w:val="20"/>
          <w:szCs w:val="20"/>
        </w:rPr>
        <w:t>nca ha sviluppato di recente un’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>estesa gamma d'interventi di assistenza societaria e operativa a</w:t>
      </w:r>
      <w:r w:rsidR="00675FE9" w:rsidRPr="00EE611E">
        <w:rPr>
          <w:rFonts w:ascii="Century Gothic" w:hAnsi="Century Gothic"/>
          <w:color w:val="003366"/>
          <w:sz w:val="20"/>
          <w:szCs w:val="20"/>
        </w:rPr>
        <w:t xml:space="preserve"> supporto degli Emittenti 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>(</w:t>
      </w:r>
      <w:proofErr w:type="spellStart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>large</w:t>
      </w:r>
      <w:proofErr w:type="spellEnd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 xml:space="preserve"> corporate, </w:t>
      </w:r>
      <w:proofErr w:type="spellStart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>mid</w:t>
      </w:r>
      <w:proofErr w:type="spellEnd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 xml:space="preserve"> corporate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, banche e assicurazioni) </w:t>
      </w:r>
      <w:r w:rsidR="00675FE9" w:rsidRPr="00EE611E">
        <w:rPr>
          <w:rFonts w:ascii="Century Gothic" w:hAnsi="Century Gothic"/>
          <w:color w:val="003366"/>
          <w:sz w:val="20"/>
          <w:szCs w:val="20"/>
        </w:rPr>
        <w:t>sinergici rispetto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alle attività tipiche di banca di investimento (</w:t>
      </w:r>
      <w:proofErr w:type="spellStart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>advisory</w:t>
      </w:r>
      <w:proofErr w:type="spellEnd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 xml:space="preserve">, </w:t>
      </w:r>
      <w:proofErr w:type="spellStart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>lending</w:t>
      </w:r>
      <w:proofErr w:type="spellEnd"/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 xml:space="preserve"> 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>e</w:t>
      </w:r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 xml:space="preserve"> capital market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>). La rapida</w:t>
      </w:r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 xml:space="preserve"> 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evoluzione dei mercati e la crescente complessità degli obblighi </w:t>
      </w:r>
      <w:r w:rsidR="00675FE9" w:rsidRPr="00EE611E">
        <w:rPr>
          <w:rFonts w:ascii="Century Gothic" w:hAnsi="Century Gothic"/>
          <w:color w:val="003366"/>
          <w:sz w:val="20"/>
          <w:szCs w:val="20"/>
        </w:rPr>
        <w:t>a carico delle società</w:t>
      </w:r>
      <w:r w:rsidR="005534A2" w:rsidRPr="00EE611E">
        <w:rPr>
          <w:rFonts w:ascii="Century Gothic" w:hAnsi="Century Gothic"/>
          <w:color w:val="003366"/>
          <w:sz w:val="20"/>
          <w:szCs w:val="20"/>
        </w:rPr>
        <w:t xml:space="preserve"> quotate, spesso rappresentate da imprese familiari che accedono alla Borsa per gestire i passaggi generazionali, </w:t>
      </w:r>
      <w:r w:rsidR="00A004D9" w:rsidRPr="00EE611E">
        <w:rPr>
          <w:rFonts w:ascii="Century Gothic" w:hAnsi="Century Gothic"/>
          <w:color w:val="003366"/>
          <w:sz w:val="20"/>
          <w:szCs w:val="20"/>
        </w:rPr>
        <w:t>hanno spinto il Gruppo Mediobanca a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rafforzare il perimetro d'intervento nell'assistenza alle società quotate e </w:t>
      </w:r>
      <w:r w:rsidR="00675FE9" w:rsidRPr="00EE611E">
        <w:rPr>
          <w:rFonts w:ascii="Century Gothic" w:hAnsi="Century Gothic"/>
          <w:color w:val="003366"/>
          <w:sz w:val="20"/>
          <w:szCs w:val="20"/>
        </w:rPr>
        <w:t xml:space="preserve">di prossima quotazione. </w:t>
      </w:r>
    </w:p>
    <w:p w:rsidR="00560339" w:rsidRPr="00EE611E" w:rsidRDefault="005534A2" w:rsidP="00560339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t xml:space="preserve">Per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è strategico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disporre di una piattaforma tecnologica proprietaria idonea a sviluppare e rendere disponibili ai propri clienti soluzioni informatiche per Emittenti a integrazione 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dei propri servizi professionali. </w:t>
      </w:r>
      <w:r w:rsidR="00EE611E" w:rsidRPr="00EE611E">
        <w:rPr>
          <w:rFonts w:ascii="Century Gothic" w:hAnsi="Century Gothic"/>
          <w:color w:val="003366"/>
          <w:sz w:val="20"/>
          <w:szCs w:val="20"/>
        </w:rPr>
        <w:t>A questo scopo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ha costituito nel giugno scorso </w:t>
      </w:r>
      <w:proofErr w:type="spellStart"/>
      <w:r w:rsidR="00560339"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Connect</w:t>
      </w:r>
      <w:r w:rsidR="00EE611E" w:rsidRPr="00EE611E">
        <w:rPr>
          <w:rFonts w:ascii="Century Gothic" w:hAnsi="Century Gothic"/>
          <w:color w:val="003366"/>
          <w:sz w:val="20"/>
          <w:szCs w:val="20"/>
        </w:rPr>
        <w:t>,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una </w:t>
      </w:r>
      <w:r w:rsidR="00560339" w:rsidRPr="00EE611E">
        <w:rPr>
          <w:rFonts w:ascii="Century Gothic" w:hAnsi="Century Gothic"/>
          <w:i/>
          <w:color w:val="003366"/>
          <w:sz w:val="20"/>
          <w:szCs w:val="20"/>
        </w:rPr>
        <w:t>joint venture</w:t>
      </w:r>
      <w:r w:rsidR="00560339" w:rsidRPr="00EE611E">
        <w:rPr>
          <w:rFonts w:ascii="Century Gothic" w:hAnsi="Century Gothic"/>
          <w:color w:val="003366"/>
          <w:sz w:val="20"/>
          <w:szCs w:val="20"/>
        </w:rPr>
        <w:t xml:space="preserve"> con Feedback Italia, società leader in Europa nel voto assembleare elettronico e nella comunicazione interattiva.</w:t>
      </w:r>
    </w:p>
    <w:p w:rsidR="00AD0630" w:rsidRPr="00EE611E" w:rsidRDefault="00AD0630" w:rsidP="00AD0630">
      <w:pPr>
        <w:jc w:val="both"/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b/>
          <w:color w:val="003366"/>
          <w:sz w:val="20"/>
          <w:szCs w:val="20"/>
        </w:rPr>
        <w:t xml:space="preserve">Stefano Pellegrino, Amministratore Delegato di </w:t>
      </w:r>
      <w:proofErr w:type="spellStart"/>
      <w:r w:rsidRPr="00EE611E">
        <w:rPr>
          <w:rFonts w:ascii="Century Gothic" w:hAnsi="Century Gothic"/>
          <w:b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b/>
          <w:color w:val="003366"/>
          <w:sz w:val="20"/>
          <w:szCs w:val="20"/>
        </w:rPr>
        <w:t xml:space="preserve"> e </w:t>
      </w:r>
      <w:proofErr w:type="spellStart"/>
      <w:r w:rsidRPr="00EE611E">
        <w:rPr>
          <w:rFonts w:ascii="Century Gothic" w:hAnsi="Century Gothic"/>
          <w:b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b/>
          <w:color w:val="003366"/>
          <w:sz w:val="20"/>
          <w:szCs w:val="20"/>
        </w:rPr>
        <w:t xml:space="preserve"> Connect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, dichiara: “Sono molto soddisfatto della partnership con CAD IT che arriva a pochi mesi di distanza dalla costituzione di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Connect, la piattaforma tecnologica di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nell’ambito dei Servizi agli Emittenti, e rappresenta un ulteriore e importante progresso nel percorso di sviluppo della nostra società. Quest’accordo consentirà di superare il problema della frammentazione delle soluzioni IT </w:t>
      </w:r>
      <w:r w:rsidR="00734829" w:rsidRPr="00EE611E">
        <w:rPr>
          <w:rFonts w:ascii="Century Gothic" w:hAnsi="Century Gothic"/>
          <w:color w:val="003366"/>
          <w:sz w:val="20"/>
          <w:szCs w:val="20"/>
        </w:rPr>
        <w:t>offerte a banche e assicurazioni integrandole con i s</w:t>
      </w:r>
      <w:r w:rsidR="0097444C">
        <w:rPr>
          <w:rFonts w:ascii="Century Gothic" w:hAnsi="Century Gothic"/>
          <w:color w:val="003366"/>
          <w:sz w:val="20"/>
          <w:szCs w:val="20"/>
        </w:rPr>
        <w:t>ervizi di assistenza alle società quotate e di prossima quotazione</w:t>
      </w:r>
      <w:r w:rsidR="00734829" w:rsidRPr="00EE611E">
        <w:rPr>
          <w:rFonts w:ascii="Century Gothic" w:hAnsi="Century Gothic"/>
          <w:color w:val="003366"/>
          <w:sz w:val="20"/>
          <w:szCs w:val="20"/>
        </w:rPr>
        <w:t>.”</w:t>
      </w:r>
    </w:p>
    <w:p w:rsidR="00AD0630" w:rsidRPr="00EE611E" w:rsidRDefault="00AD0630" w:rsidP="00AD0630">
      <w:pPr>
        <w:jc w:val="both"/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b/>
          <w:color w:val="003366"/>
          <w:sz w:val="20"/>
          <w:szCs w:val="20"/>
        </w:rPr>
        <w:t xml:space="preserve">Giuseppe Dal </w:t>
      </w:r>
      <w:proofErr w:type="spellStart"/>
      <w:r w:rsidRPr="00EE611E">
        <w:rPr>
          <w:rFonts w:ascii="Century Gothic" w:hAnsi="Century Gothic"/>
          <w:b/>
          <w:color w:val="003366"/>
          <w:sz w:val="20"/>
          <w:szCs w:val="20"/>
        </w:rPr>
        <w:t>Cortivo</w:t>
      </w:r>
      <w:proofErr w:type="spellEnd"/>
      <w:r w:rsidRPr="00EE611E">
        <w:rPr>
          <w:rFonts w:ascii="Century Gothic" w:hAnsi="Century Gothic"/>
          <w:b/>
          <w:color w:val="003366"/>
          <w:sz w:val="20"/>
          <w:szCs w:val="20"/>
        </w:rPr>
        <w:t>, Presidente del Gruppo CAD IT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, aggiunge: “Questa partnership con una Società di primario standing come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Connect del Gruppo Mediobanca ci consente di </w:t>
      </w:r>
      <w:r w:rsidRPr="00D55ACF">
        <w:rPr>
          <w:rFonts w:ascii="Century Gothic" w:hAnsi="Century Gothic"/>
          <w:color w:val="003366"/>
          <w:sz w:val="20"/>
          <w:szCs w:val="20"/>
        </w:rPr>
        <w:t>differenziare la nostra offerta verso gli Emittenti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 facendo leva sulla forte complementarietà che esiste combinando i nostri prodotti </w:t>
      </w:r>
      <w:r w:rsidR="009A104D">
        <w:rPr>
          <w:rFonts w:ascii="Century Gothic" w:hAnsi="Century Gothic"/>
          <w:color w:val="003366"/>
          <w:sz w:val="20"/>
          <w:szCs w:val="20"/>
        </w:rPr>
        <w:t xml:space="preserve">con i servizi di </w:t>
      </w:r>
      <w:proofErr w:type="spellStart"/>
      <w:r w:rsidR="009A104D">
        <w:rPr>
          <w:rFonts w:ascii="Century Gothic" w:hAnsi="Century Gothic"/>
          <w:color w:val="003366"/>
          <w:sz w:val="20"/>
          <w:szCs w:val="20"/>
        </w:rPr>
        <w:t>Spafid</w:t>
      </w:r>
      <w:proofErr w:type="spellEnd"/>
      <w:r w:rsidR="009A104D">
        <w:rPr>
          <w:rFonts w:ascii="Century Gothic" w:hAnsi="Century Gothic"/>
          <w:color w:val="003366"/>
          <w:sz w:val="20"/>
          <w:szCs w:val="20"/>
        </w:rPr>
        <w:t xml:space="preserve"> Connect</w:t>
      </w:r>
      <w:r w:rsidRPr="00EE611E">
        <w:rPr>
          <w:rFonts w:ascii="Century Gothic" w:hAnsi="Century Gothic"/>
          <w:color w:val="003366"/>
          <w:sz w:val="20"/>
          <w:szCs w:val="20"/>
        </w:rPr>
        <w:t>”.</w:t>
      </w:r>
    </w:p>
    <w:p w:rsidR="00C42597" w:rsidRPr="00EE611E" w:rsidRDefault="00C42597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3C0076" w:rsidRPr="00EE611E" w:rsidRDefault="003C0076" w:rsidP="001953FC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lastRenderedPageBreak/>
        <w:t>Per informazioni :</w:t>
      </w:r>
    </w:p>
    <w:p w:rsidR="003C0076" w:rsidRPr="00EE611E" w:rsidRDefault="003C0076" w:rsidP="001953FC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t>Media Relations Mediobanca</w:t>
      </w:r>
    </w:p>
    <w:p w:rsidR="003C0076" w:rsidRPr="00EE611E" w:rsidRDefault="001D6137" w:rsidP="001953FC">
      <w:pPr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color w:val="003366"/>
          <w:sz w:val="20"/>
          <w:szCs w:val="20"/>
        </w:rPr>
        <w:t xml:space="preserve">Tel. </w:t>
      </w:r>
      <w:r w:rsidR="003C0076" w:rsidRPr="00EE611E">
        <w:rPr>
          <w:rFonts w:ascii="Century Gothic" w:hAnsi="Century Gothic"/>
          <w:color w:val="003366"/>
          <w:sz w:val="20"/>
          <w:szCs w:val="20"/>
        </w:rPr>
        <w:t>02-88291</w:t>
      </w:r>
    </w:p>
    <w:p w:rsidR="003C0076" w:rsidRPr="00EE611E" w:rsidRDefault="001D6137" w:rsidP="001953FC">
      <w:pPr>
        <w:rPr>
          <w:rFonts w:ascii="Century Gothic" w:hAnsi="Century Gothic"/>
          <w:color w:val="003366"/>
          <w:sz w:val="20"/>
          <w:szCs w:val="20"/>
        </w:rPr>
      </w:pP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Email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: </w:t>
      </w:r>
      <w:hyperlink r:id="rId8" w:history="1">
        <w:r w:rsidR="001A6C87" w:rsidRPr="00EE611E">
          <w:rPr>
            <w:rStyle w:val="Collegamentoipertestuale"/>
            <w:rFonts w:ascii="Century Gothic" w:hAnsi="Century Gothic"/>
            <w:color w:val="003366"/>
            <w:sz w:val="20"/>
            <w:szCs w:val="20"/>
          </w:rPr>
          <w:t>media.relations@mediobanca.com</w:t>
        </w:r>
      </w:hyperlink>
    </w:p>
    <w:p w:rsidR="001A6C87" w:rsidRPr="00EE611E" w:rsidRDefault="001A6C87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734829" w:rsidRPr="00EE611E" w:rsidRDefault="00734829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734829" w:rsidRPr="00EE611E" w:rsidRDefault="00734829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734829" w:rsidRPr="00EE611E" w:rsidRDefault="00734829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1A6C87" w:rsidRPr="00EE611E" w:rsidRDefault="001A6C87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1A6C87" w:rsidRPr="00EE611E" w:rsidRDefault="001A6C87" w:rsidP="00AD0630">
      <w:pPr>
        <w:spacing w:after="0" w:line="240" w:lineRule="auto"/>
        <w:rPr>
          <w:rFonts w:ascii="Century Gothic" w:hAnsi="Century Gothic"/>
          <w:color w:val="003366"/>
          <w:sz w:val="20"/>
          <w:szCs w:val="20"/>
        </w:rPr>
      </w:pPr>
      <w:r w:rsidRPr="00EE611E">
        <w:rPr>
          <w:rFonts w:ascii="Century Gothic" w:hAnsi="Century Gothic"/>
          <w:b/>
          <w:color w:val="003366"/>
          <w:sz w:val="20"/>
          <w:szCs w:val="20"/>
        </w:rPr>
        <w:t>SPAFID</w:t>
      </w:r>
      <w:r w:rsidRPr="00EE611E">
        <w:rPr>
          <w:rFonts w:ascii="Century Gothic" w:hAnsi="Century Gothic"/>
          <w:color w:val="003366"/>
          <w:sz w:val="20"/>
          <w:szCs w:val="20"/>
        </w:rPr>
        <w:t xml:space="preserve"> è la piattaforma fiduciaria d’eccellenza del Gruppo Mediobanca dal 1948, nata per preservare e amministrare i patrimoni individuali e di nuclei familiari. Nel corso degli anni ha affiancato ai servizi di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Wealth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Management, servizi di Assistenza Corporate a favore di società quotate, </w:t>
      </w:r>
      <w:proofErr w:type="spellStart"/>
      <w:r w:rsidRPr="00EE611E">
        <w:rPr>
          <w:rFonts w:ascii="Century Gothic" w:hAnsi="Century Gothic"/>
          <w:color w:val="003366"/>
          <w:sz w:val="20"/>
          <w:szCs w:val="20"/>
        </w:rPr>
        <w:t>quotande</w:t>
      </w:r>
      <w:proofErr w:type="spellEnd"/>
      <w:r w:rsidRPr="00EE611E">
        <w:rPr>
          <w:rFonts w:ascii="Century Gothic" w:hAnsi="Century Gothic"/>
          <w:color w:val="003366"/>
          <w:sz w:val="20"/>
          <w:szCs w:val="20"/>
        </w:rPr>
        <w:t xml:space="preserve"> ed emittenti. SPAFID propone oggi un’inedita combinazione di </w:t>
      </w:r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servizi di amministrazione fiduciaria e pianificazione patrimoniale di grandi patrimoni di famiglia abilitati da innovative soluzioni per il monitoraggio delle attività finanziarie e non (patrimonio online e consolidamento fiscale) e servizi Corporate (Tenuta fiduciaria del Libro Soci, gestione assembleare, assistenza agli adempimenti societari e regolamentari, supporto operativo alle Corporate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Actions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>).</w:t>
      </w:r>
    </w:p>
    <w:p w:rsidR="001A6C87" w:rsidRPr="00EE611E" w:rsidRDefault="001A6C87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AD0630" w:rsidRPr="00EE611E" w:rsidRDefault="00AD0630" w:rsidP="00AD0630">
      <w:pPr>
        <w:spacing w:line="240" w:lineRule="auto"/>
        <w:rPr>
          <w:rFonts w:ascii="Century Gothic" w:hAnsi="Century Gothic"/>
          <w:bCs/>
          <w:i/>
          <w:color w:val="003366"/>
          <w:sz w:val="20"/>
          <w:szCs w:val="20"/>
        </w:rPr>
      </w:pPr>
      <w:r w:rsidRPr="00EE611E">
        <w:rPr>
          <w:rFonts w:ascii="Century Gothic" w:hAnsi="Century Gothic"/>
          <w:b/>
          <w:bCs/>
          <w:color w:val="003366"/>
          <w:sz w:val="20"/>
          <w:szCs w:val="20"/>
        </w:rPr>
        <w:t>CAD IT</w:t>
      </w:r>
      <w:r w:rsidRPr="00EE611E">
        <w:rPr>
          <w:rFonts w:ascii="Century Gothic" w:hAnsi="Century Gothic"/>
          <w:bCs/>
          <w:i/>
          <w:color w:val="003366"/>
          <w:sz w:val="20"/>
          <w:szCs w:val="20"/>
        </w:rPr>
        <w:t xml:space="preserve"> </w:t>
      </w:r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fornisce software e servizi ad aziende di elevato standing in Europa. I clienti di CAD IT includono banche, assicurazioni, fondi,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brokers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, fornitori di servizi in outsourcing, enti pubblici e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imprese.Ogni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 giorno, le soluzioni sviluppate da CAD IT, supportano oltre 1.000 organizzazioni in Europa, grazie al know-how di oltre 600 professionisti altamente specializzati e con il dominio di tecnologie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innovative.Con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 oltre 200.000 utenti appartenenti ad istituzioni finanziarie di elevato standing, Area Finanza di CAD IT rappresenta il sistema più utilizzato in Europa per la gestione dei processi di trading e post trading di strumenti finanziari. “Area Finanza” è una soluzione completa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front-to-back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, cross-business,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cross-asset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, multi-canale,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multi-browser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, multi-lingua,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multi-valuta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 e 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multi-istituto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>.CAD IT è inoltre leader di mercato in Italia nel settore del software per la riscossione dei tributi per la Pubblica Amministrazione e rappresenta un punto di riferimento per le aziende del “</w:t>
      </w:r>
      <w:proofErr w:type="spellStart"/>
      <w:r w:rsidRPr="00EE611E">
        <w:rPr>
          <w:rFonts w:ascii="Century Gothic" w:hAnsi="Century Gothic"/>
          <w:bCs/>
          <w:color w:val="003366"/>
          <w:sz w:val="20"/>
          <w:szCs w:val="20"/>
        </w:rPr>
        <w:t>made</w:t>
      </w:r>
      <w:proofErr w:type="spellEnd"/>
      <w:r w:rsidRPr="00EE611E">
        <w:rPr>
          <w:rFonts w:ascii="Century Gothic" w:hAnsi="Century Gothic"/>
          <w:bCs/>
          <w:color w:val="003366"/>
          <w:sz w:val="20"/>
          <w:szCs w:val="20"/>
        </w:rPr>
        <w:t xml:space="preserve"> in Italy” come fornitore di strumenti software e servizi ad alto valore aggiunto.</w:t>
      </w:r>
    </w:p>
    <w:p w:rsidR="00AD0630" w:rsidRDefault="00AD0630" w:rsidP="001953FC">
      <w:pPr>
        <w:rPr>
          <w:rFonts w:ascii="Century Gothic" w:hAnsi="Century Gothic"/>
          <w:color w:val="003366"/>
          <w:sz w:val="20"/>
          <w:szCs w:val="20"/>
        </w:rPr>
      </w:pPr>
    </w:p>
    <w:p w:rsidR="00AD0630" w:rsidRPr="001953FC" w:rsidRDefault="00AD0630" w:rsidP="001953FC">
      <w:pPr>
        <w:rPr>
          <w:rFonts w:ascii="Century Gothic" w:hAnsi="Century Gothic"/>
          <w:color w:val="003366"/>
          <w:sz w:val="20"/>
          <w:szCs w:val="20"/>
        </w:rPr>
      </w:pPr>
    </w:p>
    <w:sectPr w:rsidR="00AD0630" w:rsidRPr="001953FC" w:rsidSect="00F70B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30" w:rsidRDefault="00AD0630" w:rsidP="00E625A5">
      <w:pPr>
        <w:spacing w:after="0" w:line="240" w:lineRule="auto"/>
      </w:pPr>
      <w:r>
        <w:separator/>
      </w:r>
    </w:p>
  </w:endnote>
  <w:endnote w:type="continuationSeparator" w:id="0">
    <w:p w:rsidR="00AD0630" w:rsidRDefault="00AD0630" w:rsidP="00E6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30" w:rsidRDefault="00AD0630" w:rsidP="00E625A5">
      <w:pPr>
        <w:spacing w:after="0" w:line="240" w:lineRule="auto"/>
      </w:pPr>
      <w:r>
        <w:separator/>
      </w:r>
    </w:p>
  </w:footnote>
  <w:footnote w:type="continuationSeparator" w:id="0">
    <w:p w:rsidR="00AD0630" w:rsidRDefault="00AD0630" w:rsidP="00E6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AD0630" w:rsidTr="00E625A5">
      <w:tc>
        <w:tcPr>
          <w:tcW w:w="3259" w:type="dxa"/>
        </w:tcPr>
        <w:p w:rsidR="00AD0630" w:rsidRDefault="00AD063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914400" cy="472513"/>
                <wp:effectExtent l="0" t="0" r="0" b="0"/>
                <wp:docPr id="1" name="Immagine 0" descr="logo_blu_pay off_SPAFID 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u_pay off_SPAFID 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22" cy="475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AD0630" w:rsidRDefault="00AD0630" w:rsidP="009D5EB1">
          <w:pPr>
            <w:pStyle w:val="Intestazione"/>
            <w:jc w:val="right"/>
          </w:pPr>
        </w:p>
      </w:tc>
      <w:tc>
        <w:tcPr>
          <w:tcW w:w="3260" w:type="dxa"/>
        </w:tcPr>
        <w:p w:rsidR="00AD0630" w:rsidRDefault="00AD0630" w:rsidP="00E625A5">
          <w:pPr>
            <w:pStyle w:val="Intestazione"/>
            <w:jc w:val="right"/>
          </w:pPr>
          <w:r w:rsidRPr="00E625A5">
            <w:rPr>
              <w:noProof/>
              <w:lang w:eastAsia="it-IT"/>
            </w:rPr>
            <w:drawing>
              <wp:inline distT="0" distB="0" distL="0" distR="0">
                <wp:extent cx="896526" cy="46800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526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0630" w:rsidRDefault="00AD06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45pt;height:45pt" o:bullet="t">
        <v:imagedata r:id="rId1" o:title="clip_image001"/>
      </v:shape>
    </w:pict>
  </w:numPicBullet>
  <w:abstractNum w:abstractNumId="0">
    <w:nsid w:val="0C7F1072"/>
    <w:multiLevelType w:val="hybridMultilevel"/>
    <w:tmpl w:val="3AEA9B2A"/>
    <w:lvl w:ilvl="0" w:tplc="3CE21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86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1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6C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CA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A4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1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45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67F7D"/>
    <w:multiLevelType w:val="hybridMultilevel"/>
    <w:tmpl w:val="55E802FA"/>
    <w:lvl w:ilvl="0" w:tplc="8C484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40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08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CA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2E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ED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62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48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08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70354"/>
    <w:multiLevelType w:val="hybridMultilevel"/>
    <w:tmpl w:val="C7D492AE"/>
    <w:lvl w:ilvl="0" w:tplc="9BFC7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20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6E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06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06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C8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EE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07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8B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99D"/>
    <w:multiLevelType w:val="hybridMultilevel"/>
    <w:tmpl w:val="DDE42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7DC5"/>
    <w:rsid w:val="00043C19"/>
    <w:rsid w:val="00047EE3"/>
    <w:rsid w:val="00052315"/>
    <w:rsid w:val="000A2C62"/>
    <w:rsid w:val="001617F5"/>
    <w:rsid w:val="00192218"/>
    <w:rsid w:val="001953FC"/>
    <w:rsid w:val="001A6C87"/>
    <w:rsid w:val="001C6E19"/>
    <w:rsid w:val="001D6137"/>
    <w:rsid w:val="001E11C9"/>
    <w:rsid w:val="002113A6"/>
    <w:rsid w:val="0022060F"/>
    <w:rsid w:val="002C5599"/>
    <w:rsid w:val="002E2F78"/>
    <w:rsid w:val="00342EDE"/>
    <w:rsid w:val="0036723F"/>
    <w:rsid w:val="003A57C0"/>
    <w:rsid w:val="003C0076"/>
    <w:rsid w:val="003E67DE"/>
    <w:rsid w:val="003F1162"/>
    <w:rsid w:val="0044612E"/>
    <w:rsid w:val="00447B45"/>
    <w:rsid w:val="0045237D"/>
    <w:rsid w:val="004B3E94"/>
    <w:rsid w:val="005534A2"/>
    <w:rsid w:val="00560339"/>
    <w:rsid w:val="00606740"/>
    <w:rsid w:val="00614C90"/>
    <w:rsid w:val="00663D17"/>
    <w:rsid w:val="00675FE9"/>
    <w:rsid w:val="006F1215"/>
    <w:rsid w:val="00734829"/>
    <w:rsid w:val="00771275"/>
    <w:rsid w:val="007924E8"/>
    <w:rsid w:val="007E767E"/>
    <w:rsid w:val="00812800"/>
    <w:rsid w:val="008416E9"/>
    <w:rsid w:val="00860B35"/>
    <w:rsid w:val="008A21FB"/>
    <w:rsid w:val="008F5590"/>
    <w:rsid w:val="0090326B"/>
    <w:rsid w:val="00945459"/>
    <w:rsid w:val="0096566E"/>
    <w:rsid w:val="0097444C"/>
    <w:rsid w:val="0097675F"/>
    <w:rsid w:val="009A104D"/>
    <w:rsid w:val="009A5426"/>
    <w:rsid w:val="009D5EB1"/>
    <w:rsid w:val="00A004D9"/>
    <w:rsid w:val="00A52693"/>
    <w:rsid w:val="00A67DC5"/>
    <w:rsid w:val="00A75859"/>
    <w:rsid w:val="00A92F41"/>
    <w:rsid w:val="00AD0630"/>
    <w:rsid w:val="00B10D64"/>
    <w:rsid w:val="00B44E54"/>
    <w:rsid w:val="00B65C7D"/>
    <w:rsid w:val="00BA58CC"/>
    <w:rsid w:val="00C42597"/>
    <w:rsid w:val="00C902A2"/>
    <w:rsid w:val="00CA4BD6"/>
    <w:rsid w:val="00CC094A"/>
    <w:rsid w:val="00D55ACF"/>
    <w:rsid w:val="00DA2230"/>
    <w:rsid w:val="00DD602D"/>
    <w:rsid w:val="00E33FBA"/>
    <w:rsid w:val="00E625A5"/>
    <w:rsid w:val="00E653C5"/>
    <w:rsid w:val="00E92F8D"/>
    <w:rsid w:val="00EE611E"/>
    <w:rsid w:val="00F37F90"/>
    <w:rsid w:val="00F46F83"/>
    <w:rsid w:val="00F7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B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4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2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5A5"/>
  </w:style>
  <w:style w:type="paragraph" w:styleId="Pidipagina">
    <w:name w:val="footer"/>
    <w:basedOn w:val="Normale"/>
    <w:link w:val="PidipaginaCarattere"/>
    <w:uiPriority w:val="99"/>
    <w:semiHidden/>
    <w:unhideWhenUsed/>
    <w:rsid w:val="00E62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25A5"/>
  </w:style>
  <w:style w:type="table" w:styleId="Grigliatabella">
    <w:name w:val="Table Grid"/>
    <w:basedOn w:val="Tabellanormale"/>
    <w:uiPriority w:val="59"/>
    <w:rsid w:val="00E62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A6C87"/>
    <w:rPr>
      <w:color w:val="0000FF" w:themeColor="hyperlink"/>
      <w:u w:val="single"/>
    </w:rPr>
  </w:style>
  <w:style w:type="paragraph" w:customStyle="1" w:styleId="Corpodeltesto23">
    <w:name w:val="Corpo del testo 23"/>
    <w:basedOn w:val="Normale"/>
    <w:rsid w:val="00AD0630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relations@medioban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7F30-C9CF-4B4D-8C01-47BC4C2F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Pellegrino</dc:creator>
  <cp:lastModifiedBy>TASSONE STEFANO</cp:lastModifiedBy>
  <cp:revision>11</cp:revision>
  <cp:lastPrinted>2015-06-19T07:31:00Z</cp:lastPrinted>
  <dcterms:created xsi:type="dcterms:W3CDTF">2016-02-08T18:12:00Z</dcterms:created>
  <dcterms:modified xsi:type="dcterms:W3CDTF">2016-02-09T10:52:00Z</dcterms:modified>
</cp:coreProperties>
</file>